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7796"/>
        <w:gridCol w:w="709"/>
        <w:gridCol w:w="709"/>
        <w:gridCol w:w="708"/>
        <w:gridCol w:w="153"/>
        <w:gridCol w:w="236"/>
      </w:tblGrid>
      <w:tr w:rsidR="00683F5E" w:rsidRPr="00920ED8" w:rsidTr="00446B9B">
        <w:trPr>
          <w:trHeight w:val="360"/>
        </w:trPr>
        <w:tc>
          <w:tcPr>
            <w:tcW w:w="11034" w:type="dxa"/>
            <w:gridSpan w:val="8"/>
            <w:vAlign w:val="center"/>
          </w:tcPr>
          <w:p w:rsidR="00DA7C56" w:rsidRPr="00DE07C6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</w:t>
            </w:r>
            <w:r w:rsidR="00767686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</w:t>
            </w:r>
            <w:r w:rsidR="00B35DDF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CE</w:t>
            </w:r>
            <w:r w:rsidR="00767686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404</w:t>
            </w:r>
            <w:r w:rsidR="006837A9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 xml:space="preserve"> </w:t>
            </w:r>
          </w:p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bookmarkStart w:id="0" w:name="_GoBack"/>
              <w:bookmarkEnd w:id="0"/>
            </w:tr>
          </w:tbl>
          <w:p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7C56" w:rsidRDefault="00DE07C6" w:rsidP="00D13A4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II/IV </w:t>
                  </w:r>
                  <w:proofErr w:type="spellStart"/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B.Tech</w:t>
                  </w:r>
                  <w:proofErr w:type="spellEnd"/>
                  <w:r w:rsidR="00D13A48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(Regular)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DEGREE EXAMINATION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D13A48" w:rsidP="00B35DD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August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B35DDF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Civil</w:t>
                  </w:r>
                  <w:r w:rsidR="00AE6EF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Engineering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DA7C56" w:rsidP="00B35DD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</w:t>
                  </w:r>
                  <w:r w:rsidR="00B35DDF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our</w:t>
                  </w:r>
                  <w:r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th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B35DDF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Hydraulics &amp; Hydraulic Machines</w:t>
                  </w:r>
                </w:p>
              </w:tc>
            </w:tr>
            <w:tr w:rsidR="00DA7C56" w:rsidRPr="00DA7C56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DA7C56" w:rsidRPr="00DA7C56" w:rsidRDefault="0058737A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275EA863" wp14:editId="756EA49F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GvQ1xPdAAAACgEAAA8AAAAAAAAAAAAAAAAAeQQAAGRycy9kb3ducmV2Lnht&#10;bFBLBQYAAAAABAAEAPMAAAC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1D42A3">
        <w:trPr>
          <w:trHeight w:val="345"/>
        </w:trPr>
        <w:tc>
          <w:tcPr>
            <w:tcW w:w="11034" w:type="dxa"/>
            <w:gridSpan w:val="8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B05A83">
                  <w:pPr>
                    <w:spacing w:after="0" w:line="36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B05A83">
                  <w:pPr>
                    <w:spacing w:after="0" w:line="36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B05A83">
                  <w:pPr>
                    <w:spacing w:after="0" w:line="36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DA7C56" w:rsidP="00B05A83">
                  <w:pPr>
                    <w:spacing w:after="0" w:line="36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8E1885" w:rsidRPr="00146B1E" w:rsidRDefault="008E1885" w:rsidP="00B05A83">
            <w:pPr>
              <w:spacing w:after="0" w:line="36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B05A83">
            <w:pPr>
              <w:spacing w:after="0" w:line="36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a)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Define energy correction factor.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CO1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What is critical depth in open channel flow?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CO1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In a rectangular channel, flow is taking place with a hydraulic radius of 1 m. Determine Manning’s coefficient, if the </w:t>
            </w:r>
            <w:proofErr w:type="spellStart"/>
            <w:r w:rsidRPr="004722D5">
              <w:rPr>
                <w:rFonts w:ascii="Times New Roman" w:hAnsi="Times New Roman"/>
              </w:rPr>
              <w:t>Chezy’s</w:t>
            </w:r>
            <w:proofErr w:type="spellEnd"/>
            <w:r w:rsidRPr="004722D5">
              <w:rPr>
                <w:rFonts w:ascii="Times New Roman" w:hAnsi="Times New Roman"/>
              </w:rPr>
              <w:t xml:space="preserve"> coefficient C is 50.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CO1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d)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Write the conditions for most economical rectangular channel section.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CO1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e)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The depth of flow in a rectangular channel of width 2 m is 1 m while the discharge is </w:t>
            </w:r>
            <w:proofErr w:type="gramStart"/>
            <w:r w:rsidRPr="004722D5">
              <w:rPr>
                <w:rFonts w:ascii="Times New Roman" w:hAnsi="Times New Roman"/>
              </w:rPr>
              <w:t>5 m</w:t>
            </w:r>
            <w:r w:rsidRPr="004722D5">
              <w:rPr>
                <w:rFonts w:ascii="Times New Roman" w:hAnsi="Times New Roman"/>
                <w:vertAlign w:val="superscript"/>
              </w:rPr>
              <w:t>3</w:t>
            </w:r>
            <w:r w:rsidRPr="004722D5">
              <w:rPr>
                <w:rFonts w:ascii="Times New Roman" w:hAnsi="Times New Roman"/>
              </w:rPr>
              <w:t>/s.</w:t>
            </w:r>
            <w:proofErr w:type="gramEnd"/>
            <w:r w:rsidRPr="004722D5">
              <w:rPr>
                <w:rFonts w:ascii="Times New Roman" w:hAnsi="Times New Roman"/>
              </w:rPr>
              <w:t xml:space="preserve"> Find the Froude Number.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CO2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f)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Name the water surface profile at a section when the depth of flow is 2.6 m while its normal depth and critical depths are 1.5 m and 2.5 m respectively.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CO2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g)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The sequent depths of a hydraulic jump are 0.5 m and 4 m, find the discharge intensity.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CO2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h)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Classify the hydraulic jump based on Froude Number if Froude Number is 3.5.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CO2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i)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Define impulse momentum principle.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CO3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j)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Write the expression for specific speed of a turbine.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CO3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k)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67624" w:rsidP="004722D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</w:t>
            </w:r>
            <w:r w:rsidR="00CD2416" w:rsidRPr="004722D5">
              <w:rPr>
                <w:rFonts w:ascii="Times New Roman" w:hAnsi="Times New Roman"/>
              </w:rPr>
              <w:t xml:space="preserve"> a draft tube.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CO3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l)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pStyle w:val="NoSpacing"/>
              <w:jc w:val="both"/>
              <w:rPr>
                <w:sz w:val="22"/>
                <w:szCs w:val="22"/>
              </w:rPr>
            </w:pPr>
            <w:r w:rsidRPr="004722D5">
              <w:rPr>
                <w:sz w:val="22"/>
                <w:szCs w:val="22"/>
              </w:rPr>
              <w:t>When cavitation takes place in centrifugal pump?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CO4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ind w:left="-71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m)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What do you understand by dimensional homogeneity?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CO4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n)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Write the expression of </w:t>
            </w:r>
            <w:proofErr w:type="spellStart"/>
            <w:r w:rsidRPr="004722D5">
              <w:rPr>
                <w:rFonts w:ascii="Times New Roman" w:hAnsi="Times New Roman"/>
              </w:rPr>
              <w:t>Reynold’s</w:t>
            </w:r>
            <w:proofErr w:type="spellEnd"/>
            <w:r w:rsidRPr="004722D5">
              <w:rPr>
                <w:rFonts w:ascii="Times New Roman" w:hAnsi="Times New Roman"/>
              </w:rPr>
              <w:t xml:space="preserve"> number.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CO4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722D5">
              <w:rPr>
                <w:rFonts w:ascii="Times New Roman" w:hAnsi="Times New Roman"/>
                <w:b/>
              </w:rPr>
              <w:t>Unit –I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a)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Derive </w:t>
            </w:r>
            <w:proofErr w:type="spellStart"/>
            <w:r w:rsidRPr="004722D5">
              <w:rPr>
                <w:rFonts w:ascii="Times New Roman" w:hAnsi="Times New Roman"/>
              </w:rPr>
              <w:t>Chezy’s</w:t>
            </w:r>
            <w:proofErr w:type="spellEnd"/>
            <w:r w:rsidRPr="004722D5">
              <w:rPr>
                <w:rFonts w:ascii="Times New Roman" w:hAnsi="Times New Roman"/>
              </w:rPr>
              <w:t xml:space="preserve"> equation of uniform flow in an open channel.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EB29D3" w:rsidP="00EB29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A flow of 200 litre/s flows down in a rectangular laboratory flume of width 50cm and having adjustable bottom slope if </w:t>
            </w:r>
            <w:proofErr w:type="spellStart"/>
            <w:r w:rsidRPr="004722D5">
              <w:rPr>
                <w:rFonts w:ascii="Times New Roman" w:hAnsi="Times New Roman"/>
              </w:rPr>
              <w:t>Chezy’s</w:t>
            </w:r>
            <w:proofErr w:type="spellEnd"/>
            <w:r w:rsidRPr="004722D5">
              <w:rPr>
                <w:rFonts w:ascii="Times New Roman" w:hAnsi="Times New Roman"/>
              </w:rPr>
              <w:t xml:space="preserve"> constant is 50, determine the bottom slope necessary for uniform flows with a depth of flow 20cm.</w:t>
            </w:r>
            <w:r w:rsidR="00CD2416" w:rsidRPr="004722D5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1D42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a)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1D42A3">
            <w:pPr>
              <w:pStyle w:val="NoSpacing"/>
              <w:jc w:val="both"/>
              <w:rPr>
                <w:sz w:val="22"/>
                <w:szCs w:val="22"/>
              </w:rPr>
            </w:pPr>
            <w:r w:rsidRPr="004722D5">
              <w:rPr>
                <w:sz w:val="22"/>
                <w:szCs w:val="22"/>
              </w:rPr>
              <w:t>Define critical flow and derive the conditions for critical flow in a rectangular open channel.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EB29D3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In a rectangular channel of bed width 5 m with a bed slope of 0.0001, uniform flow is taking place with a normal depth of 2 m. Calculate the specific energy of flow assuming </w:t>
            </w:r>
            <w:proofErr w:type="spellStart"/>
            <w:r w:rsidRPr="004722D5">
              <w:rPr>
                <w:rFonts w:ascii="Times New Roman" w:hAnsi="Times New Roman"/>
              </w:rPr>
              <w:t>Chezy’s</w:t>
            </w:r>
            <w:proofErr w:type="spellEnd"/>
            <w:r w:rsidRPr="004722D5">
              <w:rPr>
                <w:rFonts w:ascii="Times New Roman" w:hAnsi="Times New Roman"/>
              </w:rPr>
              <w:t xml:space="preserve"> constant as 50. Also find the minimum specific energy required for the flow and corresponding critical depth.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1D42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  <w:b/>
              </w:rPr>
              <w:t>Unit –II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a)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1D42A3">
            <w:pPr>
              <w:pStyle w:val="NoSpacing"/>
              <w:jc w:val="both"/>
              <w:rPr>
                <w:sz w:val="22"/>
                <w:szCs w:val="22"/>
              </w:rPr>
            </w:pPr>
            <w:r w:rsidRPr="004722D5">
              <w:rPr>
                <w:sz w:val="22"/>
                <w:szCs w:val="22"/>
              </w:rPr>
              <w:t>Derive the differential equation for gradually varied flow in prismatic channels, stating clearly the assumptions made in its derivation.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F553F6" w:rsidP="00F553F6">
            <w:pPr>
              <w:pStyle w:val="NoSpacing"/>
              <w:jc w:val="both"/>
              <w:rPr>
                <w:sz w:val="22"/>
                <w:szCs w:val="22"/>
              </w:rPr>
            </w:pPr>
            <w:r w:rsidRPr="004722D5">
              <w:t>GVF is taking place in a rectangular channel of bed with 5 m at a rate of 15m</w:t>
            </w:r>
            <w:r w:rsidRPr="004722D5">
              <w:rPr>
                <w:vertAlign w:val="superscript"/>
              </w:rPr>
              <w:t>3</w:t>
            </w:r>
            <w:r w:rsidRPr="004722D5">
              <w:t>/s. At a particular section, the depth of flow is 1.5 m. Determine the slope of water surface elevation if the channel is laid at a slope of 0.0001. Take Manning’s coefficient as 0.012.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1D42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a)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F553F6" w:rsidRDefault="00F553F6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53F6">
              <w:rPr>
                <w:rFonts w:ascii="Times New Roman" w:hAnsi="Times New Roman"/>
              </w:rPr>
              <w:t>Find the % head loss that takes place in a rectangular channel of bed width 2m when the pre-jump depth is 0.5m for a discharge of 15 m</w:t>
            </w:r>
            <w:r w:rsidRPr="00F553F6">
              <w:rPr>
                <w:rFonts w:ascii="Times New Roman" w:hAnsi="Times New Roman"/>
                <w:vertAlign w:val="superscript"/>
              </w:rPr>
              <w:t>3</w:t>
            </w:r>
            <w:r w:rsidRPr="00F553F6">
              <w:rPr>
                <w:rFonts w:ascii="Times New Roman" w:hAnsi="Times New Roman"/>
              </w:rPr>
              <w:t>/s.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Derive the equation of energy loss while hydraulic jump takes place in a rectangular channel.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F266A" w:rsidRDefault="002F266A" w:rsidP="001D42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F266A" w:rsidRDefault="002F266A" w:rsidP="001D42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F266A" w:rsidRDefault="002F266A" w:rsidP="001D42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F266A" w:rsidRPr="001D42A3" w:rsidRDefault="002F266A" w:rsidP="002F266A">
            <w:pPr>
              <w:pStyle w:val="Footer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D42A3"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:rsidR="002F266A" w:rsidRDefault="002F266A" w:rsidP="001D42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F266A" w:rsidRDefault="002F266A" w:rsidP="001D42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F266A" w:rsidRDefault="002F266A" w:rsidP="001D42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F266A" w:rsidRDefault="002F266A" w:rsidP="002F266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2F266A">
              <w:rPr>
                <w:rFonts w:ascii="Times New Roman" w:hAnsi="Times New Roman"/>
                <w:b/>
                <w:sz w:val="32"/>
                <w:szCs w:val="32"/>
              </w:rPr>
              <w:t>20CE404</w:t>
            </w:r>
          </w:p>
          <w:p w:rsidR="002F266A" w:rsidRDefault="002F266A" w:rsidP="001D42A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CD2416" w:rsidRPr="004722D5" w:rsidRDefault="00CD2416" w:rsidP="001D42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  <w:b/>
              </w:rPr>
              <w:t>Unit –III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a)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Default="00CD2416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Show that the efficiency of a free jet striking normally as series of flat plates mounted on the periphery of a wheel never exceeds 50%.</w:t>
            </w:r>
          </w:p>
          <w:p w:rsidR="002F266A" w:rsidRPr="004722D5" w:rsidRDefault="002F266A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FF6703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Derive the expression for work done/sec by the jet on a curved plate which is moving in the direction of jet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2F266A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66A" w:rsidRPr="004722D5" w:rsidRDefault="002F266A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66A" w:rsidRPr="004722D5" w:rsidRDefault="002F266A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66A" w:rsidRPr="004722D5" w:rsidRDefault="002F266A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66A" w:rsidRPr="004722D5" w:rsidRDefault="002F266A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66A" w:rsidRPr="004722D5" w:rsidRDefault="002F266A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66A" w:rsidRPr="004722D5" w:rsidRDefault="002F266A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1D42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a)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FF6703" w:rsidP="00FF67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Derive an expression </w:t>
            </w:r>
            <w:r w:rsidR="00B90FEB">
              <w:rPr>
                <w:rFonts w:ascii="Times New Roman" w:hAnsi="Times New Roman"/>
              </w:rPr>
              <w:t>for specific speed of a turbine</w:t>
            </w:r>
            <w:r w:rsidR="00CD2416" w:rsidRPr="004722D5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4M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The following data is given for a Francis turbine. </w:t>
            </w:r>
          </w:p>
          <w:p w:rsidR="00CD2416" w:rsidRPr="004722D5" w:rsidRDefault="00CD2416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Net head = 40 m, speed = 500 rpm, shaft power = 400 kW, overall efficiency = 85%, hydraulic efficiency = 90%, flow ratio = 0.2, breadth ratio = 0.1, outer diameter of the runner = 2 x inner diameter of the runner. The thickness of the vanes occupy 5% of circumferential area of the runner, velocity of flow is constant at inlet and outlet. Discharge is radial at outlet. Determine, i) guide blade angle at </w:t>
            </w:r>
            <w:proofErr w:type="gramStart"/>
            <w:r w:rsidRPr="004722D5">
              <w:rPr>
                <w:rFonts w:ascii="Times New Roman" w:hAnsi="Times New Roman"/>
              </w:rPr>
              <w:t>inlet  ii</w:t>
            </w:r>
            <w:proofErr w:type="gramEnd"/>
            <w:r w:rsidRPr="004722D5">
              <w:rPr>
                <w:rFonts w:ascii="Times New Roman" w:hAnsi="Times New Roman"/>
              </w:rPr>
              <w:t>) vane angles at inlet and outlet iii) diameters of the runner at inlet and outlet   iv) width of wheel at inlet.</w:t>
            </w:r>
            <w:r w:rsidRPr="004722D5">
              <w:rPr>
                <w:rFonts w:ascii="Times New Roman" w:hAnsi="Times New Roman"/>
              </w:rPr>
              <w:tab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10M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1D42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  <w:b/>
              </w:rPr>
              <w:t>Unit –IV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a)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263" w:rsidRPr="004722D5" w:rsidRDefault="003B1263" w:rsidP="003B12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Discuss about the following:</w:t>
            </w:r>
          </w:p>
          <w:p w:rsidR="00CD2416" w:rsidRPr="004722D5" w:rsidRDefault="003B1263" w:rsidP="003B12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 </w:t>
            </w:r>
            <w:proofErr w:type="gramStart"/>
            <w:r w:rsidRPr="004722D5">
              <w:rPr>
                <w:rFonts w:ascii="Times New Roman" w:hAnsi="Times New Roman"/>
              </w:rPr>
              <w:t>i</w:t>
            </w:r>
            <w:proofErr w:type="gramEnd"/>
            <w:r w:rsidRPr="004722D5">
              <w:rPr>
                <w:rFonts w:ascii="Times New Roman" w:hAnsi="Times New Roman"/>
              </w:rPr>
              <w:t>) Pumps in series  ii) Pumps in parallel  iii) Various efficiencies of pump.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The internal and external diameters of the impeller of a centrifugal pump are 200 mm and 400 mm respectively. The pump is running at 1000 </w:t>
            </w:r>
            <w:proofErr w:type="spellStart"/>
            <w:r w:rsidRPr="004722D5">
              <w:rPr>
                <w:rFonts w:ascii="Times New Roman" w:hAnsi="Times New Roman"/>
              </w:rPr>
              <w:t>r.p.m</w:t>
            </w:r>
            <w:proofErr w:type="spellEnd"/>
            <w:r w:rsidRPr="004722D5">
              <w:rPr>
                <w:rFonts w:ascii="Times New Roman" w:hAnsi="Times New Roman"/>
              </w:rPr>
              <w:t>. The vane angles of the impeller at inlet and outlet are 20</w:t>
            </w:r>
            <w:r w:rsidRPr="004722D5">
              <w:rPr>
                <w:rFonts w:ascii="Times New Roman" w:hAnsi="Times New Roman"/>
                <w:vertAlign w:val="superscript"/>
              </w:rPr>
              <w:t>0</w:t>
            </w:r>
            <w:r w:rsidRPr="004722D5">
              <w:rPr>
                <w:rFonts w:ascii="Times New Roman" w:hAnsi="Times New Roman"/>
              </w:rPr>
              <w:t xml:space="preserve"> and 30</w:t>
            </w:r>
            <w:r w:rsidRPr="004722D5">
              <w:rPr>
                <w:rFonts w:ascii="Times New Roman" w:hAnsi="Times New Roman"/>
                <w:vertAlign w:val="superscript"/>
              </w:rPr>
              <w:t xml:space="preserve">0 </w:t>
            </w:r>
            <w:r w:rsidRPr="004722D5">
              <w:rPr>
                <w:rFonts w:ascii="Times New Roman" w:hAnsi="Times New Roman"/>
              </w:rPr>
              <w:t>respectively. The water enters the impeller radially and velocity of flow is constant. Determine the work done by the impeller per unit weight of water.</w:t>
            </w:r>
            <w:r w:rsidRPr="004722D5">
              <w:rPr>
                <w:rFonts w:ascii="Times New Roman" w:hAnsi="Times New Roman"/>
              </w:rPr>
              <w:tab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1D42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a)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 xml:space="preserve">The resistance force </w:t>
            </w:r>
            <w:r w:rsidRPr="004722D5">
              <w:rPr>
                <w:rFonts w:ascii="Times New Roman" w:hAnsi="Times New Roman"/>
                <w:i/>
              </w:rPr>
              <w:t>F</w:t>
            </w:r>
            <w:r w:rsidRPr="004722D5">
              <w:rPr>
                <w:rFonts w:ascii="Times New Roman" w:hAnsi="Times New Roman"/>
              </w:rPr>
              <w:t xml:space="preserve"> of a ship is a function of its length </w:t>
            </w:r>
            <w:r w:rsidRPr="004722D5">
              <w:rPr>
                <w:rFonts w:ascii="Times New Roman" w:hAnsi="Times New Roman"/>
                <w:i/>
              </w:rPr>
              <w:t>L</w:t>
            </w:r>
            <w:r w:rsidRPr="004722D5">
              <w:rPr>
                <w:rFonts w:ascii="Times New Roman" w:hAnsi="Times New Roman"/>
              </w:rPr>
              <w:t xml:space="preserve">, velocity </w:t>
            </w:r>
            <w:r w:rsidRPr="004722D5">
              <w:rPr>
                <w:rFonts w:ascii="Times New Roman" w:hAnsi="Times New Roman"/>
                <w:i/>
              </w:rPr>
              <w:t>V</w:t>
            </w:r>
            <w:r w:rsidRPr="004722D5">
              <w:rPr>
                <w:rFonts w:ascii="Times New Roman" w:hAnsi="Times New Roman"/>
              </w:rPr>
              <w:t xml:space="preserve">, acceleration due to gravity </w:t>
            </w:r>
            <w:r w:rsidRPr="004722D5">
              <w:rPr>
                <w:rFonts w:ascii="Times New Roman" w:hAnsi="Times New Roman"/>
                <w:i/>
              </w:rPr>
              <w:t>g</w:t>
            </w:r>
            <w:r w:rsidRPr="004722D5">
              <w:rPr>
                <w:rFonts w:ascii="Times New Roman" w:hAnsi="Times New Roman"/>
              </w:rPr>
              <w:t xml:space="preserve"> and fluid properties like density </w:t>
            </w:r>
            <w:r w:rsidRPr="004722D5">
              <w:rPr>
                <w:rFonts w:ascii="Times New Roman" w:hAnsi="Times New Roman"/>
                <w:position w:val="-10"/>
                <w:lang w:eastAsia="en-IN"/>
              </w:rPr>
              <w:object w:dxaOrig="2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.75pt" o:ole="">
                  <v:imagedata r:id="rId9" o:title=""/>
                </v:shape>
                <o:OLEObject Type="Embed" ProgID="Equation.3" ShapeID="_x0000_i1025" DrawAspect="Content" ObjectID="_1723009332" r:id="rId10"/>
              </w:object>
            </w:r>
            <w:r w:rsidRPr="004722D5">
              <w:rPr>
                <w:rFonts w:ascii="Times New Roman" w:hAnsi="Times New Roman"/>
              </w:rPr>
              <w:t xml:space="preserve">  and viscosity</w:t>
            </w:r>
            <w:r w:rsidRPr="004722D5">
              <w:rPr>
                <w:rFonts w:ascii="Times New Roman" w:hAnsi="Times New Roman"/>
                <w:position w:val="-10"/>
                <w:lang w:eastAsia="en-IN"/>
              </w:rPr>
              <w:object w:dxaOrig="240" w:dyaOrig="260">
                <v:shape id="_x0000_i1026" type="#_x0000_t75" style="width:12pt;height:12.75pt" o:ole="">
                  <v:imagedata r:id="rId11" o:title=""/>
                </v:shape>
                <o:OLEObject Type="Embed" ProgID="Equation.3" ShapeID="_x0000_i1026" DrawAspect="Content" ObjectID="_1723009333" r:id="rId12"/>
              </w:object>
            </w:r>
            <w:r w:rsidRPr="004722D5">
              <w:rPr>
                <w:rFonts w:ascii="Times New Roman" w:hAnsi="Times New Roman"/>
              </w:rPr>
              <w:t>. Write the relationship in a dimensionless form.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  <w:tr w:rsidR="00CD2416" w:rsidRPr="004722D5" w:rsidTr="00446B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389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b)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263" w:rsidRPr="004722D5" w:rsidRDefault="003B1263" w:rsidP="003B12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Explain different types of similarities that must exist between model and prototype.</w:t>
            </w:r>
          </w:p>
          <w:p w:rsidR="00CD2416" w:rsidRPr="004722D5" w:rsidRDefault="00CD2416" w:rsidP="001D42A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BL2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CO4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2416" w:rsidRPr="004722D5" w:rsidRDefault="00CD2416" w:rsidP="004722D5">
            <w:pPr>
              <w:spacing w:after="0" w:line="240" w:lineRule="auto"/>
              <w:rPr>
                <w:rFonts w:ascii="Times New Roman" w:hAnsi="Times New Roman"/>
              </w:rPr>
            </w:pPr>
            <w:r w:rsidRPr="004722D5">
              <w:rPr>
                <w:rFonts w:ascii="Times New Roman" w:hAnsi="Times New Roman"/>
              </w:rPr>
              <w:t>7M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0A7622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722D5">
      <w:pgSz w:w="11909" w:h="16834" w:code="9"/>
      <w:pgMar w:top="36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1B4" w:rsidRDefault="008E71B4" w:rsidP="009178F6">
      <w:pPr>
        <w:spacing w:after="0" w:line="240" w:lineRule="auto"/>
      </w:pPr>
      <w:r>
        <w:separator/>
      </w:r>
    </w:p>
  </w:endnote>
  <w:endnote w:type="continuationSeparator" w:id="0">
    <w:p w:rsidR="008E71B4" w:rsidRDefault="008E71B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1B4" w:rsidRDefault="008E71B4" w:rsidP="009178F6">
      <w:pPr>
        <w:spacing w:after="0" w:line="240" w:lineRule="auto"/>
      </w:pPr>
      <w:r>
        <w:separator/>
      </w:r>
    </w:p>
  </w:footnote>
  <w:footnote w:type="continuationSeparator" w:id="0">
    <w:p w:rsidR="008E71B4" w:rsidRDefault="008E71B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D1D5B"/>
    <w:multiLevelType w:val="hybridMultilevel"/>
    <w:tmpl w:val="A9E2B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5961892"/>
    <w:multiLevelType w:val="hybridMultilevel"/>
    <w:tmpl w:val="4BDC9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10488"/>
    <w:rsid w:val="00014609"/>
    <w:rsid w:val="000312B8"/>
    <w:rsid w:val="0003452E"/>
    <w:rsid w:val="00043767"/>
    <w:rsid w:val="000604FF"/>
    <w:rsid w:val="00061C75"/>
    <w:rsid w:val="000735E4"/>
    <w:rsid w:val="00073D57"/>
    <w:rsid w:val="0007623C"/>
    <w:rsid w:val="00085F3E"/>
    <w:rsid w:val="00091C80"/>
    <w:rsid w:val="00094533"/>
    <w:rsid w:val="00096B7A"/>
    <w:rsid w:val="0009772D"/>
    <w:rsid w:val="000A4680"/>
    <w:rsid w:val="000A7622"/>
    <w:rsid w:val="000B14DF"/>
    <w:rsid w:val="000B687C"/>
    <w:rsid w:val="000C3709"/>
    <w:rsid w:val="000D1F34"/>
    <w:rsid w:val="000E4C8D"/>
    <w:rsid w:val="000F1C9D"/>
    <w:rsid w:val="00105D83"/>
    <w:rsid w:val="00120A9D"/>
    <w:rsid w:val="00133E67"/>
    <w:rsid w:val="00140315"/>
    <w:rsid w:val="00146B1E"/>
    <w:rsid w:val="00156EA0"/>
    <w:rsid w:val="00162E39"/>
    <w:rsid w:val="00166A13"/>
    <w:rsid w:val="001741E7"/>
    <w:rsid w:val="00182688"/>
    <w:rsid w:val="00183966"/>
    <w:rsid w:val="001A12DA"/>
    <w:rsid w:val="001B2C49"/>
    <w:rsid w:val="001B6546"/>
    <w:rsid w:val="001B6AC0"/>
    <w:rsid w:val="001B6CD7"/>
    <w:rsid w:val="001D42A3"/>
    <w:rsid w:val="001D77D0"/>
    <w:rsid w:val="001E0718"/>
    <w:rsid w:val="001E0F9E"/>
    <w:rsid w:val="001E6177"/>
    <w:rsid w:val="001E6268"/>
    <w:rsid w:val="001F2DC6"/>
    <w:rsid w:val="001F5B74"/>
    <w:rsid w:val="00230BED"/>
    <w:rsid w:val="00242895"/>
    <w:rsid w:val="002444FD"/>
    <w:rsid w:val="00244843"/>
    <w:rsid w:val="002502D0"/>
    <w:rsid w:val="002553DA"/>
    <w:rsid w:val="00267C8B"/>
    <w:rsid w:val="002765B7"/>
    <w:rsid w:val="00276FBE"/>
    <w:rsid w:val="002806F3"/>
    <w:rsid w:val="002920ED"/>
    <w:rsid w:val="00292398"/>
    <w:rsid w:val="00297D01"/>
    <w:rsid w:val="002A0E86"/>
    <w:rsid w:val="002B15CA"/>
    <w:rsid w:val="002D1D2A"/>
    <w:rsid w:val="002D5DA3"/>
    <w:rsid w:val="002D6CC2"/>
    <w:rsid w:val="002E1614"/>
    <w:rsid w:val="002E16F9"/>
    <w:rsid w:val="002F266A"/>
    <w:rsid w:val="002F6E6A"/>
    <w:rsid w:val="00307455"/>
    <w:rsid w:val="003145BB"/>
    <w:rsid w:val="003160C5"/>
    <w:rsid w:val="003206A4"/>
    <w:rsid w:val="0033148C"/>
    <w:rsid w:val="003473D3"/>
    <w:rsid w:val="00375F6E"/>
    <w:rsid w:val="0038021E"/>
    <w:rsid w:val="003A1CC4"/>
    <w:rsid w:val="003A38F9"/>
    <w:rsid w:val="003B1263"/>
    <w:rsid w:val="003B3E54"/>
    <w:rsid w:val="003C3441"/>
    <w:rsid w:val="003D1D76"/>
    <w:rsid w:val="003F1308"/>
    <w:rsid w:val="0040095A"/>
    <w:rsid w:val="004139EA"/>
    <w:rsid w:val="00414ECB"/>
    <w:rsid w:val="00416CFE"/>
    <w:rsid w:val="004273C7"/>
    <w:rsid w:val="00427900"/>
    <w:rsid w:val="004429FB"/>
    <w:rsid w:val="00446B9B"/>
    <w:rsid w:val="00471D81"/>
    <w:rsid w:val="004722D5"/>
    <w:rsid w:val="00475F2A"/>
    <w:rsid w:val="00493097"/>
    <w:rsid w:val="004A0AFE"/>
    <w:rsid w:val="004B3566"/>
    <w:rsid w:val="004B39E1"/>
    <w:rsid w:val="004B419A"/>
    <w:rsid w:val="004D1C4A"/>
    <w:rsid w:val="004E1936"/>
    <w:rsid w:val="004E6894"/>
    <w:rsid w:val="004F1DD4"/>
    <w:rsid w:val="0050029F"/>
    <w:rsid w:val="00534B6C"/>
    <w:rsid w:val="00534C1E"/>
    <w:rsid w:val="0054778C"/>
    <w:rsid w:val="00551A58"/>
    <w:rsid w:val="00574389"/>
    <w:rsid w:val="005746FD"/>
    <w:rsid w:val="00577160"/>
    <w:rsid w:val="0058737A"/>
    <w:rsid w:val="005A15F1"/>
    <w:rsid w:val="005A1EB1"/>
    <w:rsid w:val="005A220A"/>
    <w:rsid w:val="005B2EE9"/>
    <w:rsid w:val="005B32DC"/>
    <w:rsid w:val="005B5E00"/>
    <w:rsid w:val="005B7861"/>
    <w:rsid w:val="005C03C7"/>
    <w:rsid w:val="005C075E"/>
    <w:rsid w:val="005C5274"/>
    <w:rsid w:val="005C585F"/>
    <w:rsid w:val="005C61A7"/>
    <w:rsid w:val="005D205F"/>
    <w:rsid w:val="005D31C5"/>
    <w:rsid w:val="005D7618"/>
    <w:rsid w:val="005F34F7"/>
    <w:rsid w:val="00602A32"/>
    <w:rsid w:val="00602C49"/>
    <w:rsid w:val="00604E83"/>
    <w:rsid w:val="0061074A"/>
    <w:rsid w:val="0061412B"/>
    <w:rsid w:val="006145BE"/>
    <w:rsid w:val="006247AD"/>
    <w:rsid w:val="00627754"/>
    <w:rsid w:val="006302A1"/>
    <w:rsid w:val="00631928"/>
    <w:rsid w:val="0065102E"/>
    <w:rsid w:val="0065128C"/>
    <w:rsid w:val="006560B2"/>
    <w:rsid w:val="00660153"/>
    <w:rsid w:val="00665E7C"/>
    <w:rsid w:val="006744F5"/>
    <w:rsid w:val="006837A9"/>
    <w:rsid w:val="00683F5E"/>
    <w:rsid w:val="00695B4E"/>
    <w:rsid w:val="006C43C2"/>
    <w:rsid w:val="006D1D63"/>
    <w:rsid w:val="006D2A08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4144C"/>
    <w:rsid w:val="00742189"/>
    <w:rsid w:val="007558A3"/>
    <w:rsid w:val="00755C8C"/>
    <w:rsid w:val="00767686"/>
    <w:rsid w:val="0079491B"/>
    <w:rsid w:val="007A48E4"/>
    <w:rsid w:val="007B24DA"/>
    <w:rsid w:val="007F5FE8"/>
    <w:rsid w:val="00802144"/>
    <w:rsid w:val="00810282"/>
    <w:rsid w:val="00826494"/>
    <w:rsid w:val="0083265E"/>
    <w:rsid w:val="0083642C"/>
    <w:rsid w:val="00843417"/>
    <w:rsid w:val="00850B05"/>
    <w:rsid w:val="00853363"/>
    <w:rsid w:val="008552BB"/>
    <w:rsid w:val="00860FA5"/>
    <w:rsid w:val="008625A4"/>
    <w:rsid w:val="00875BE2"/>
    <w:rsid w:val="00880738"/>
    <w:rsid w:val="008A3D1E"/>
    <w:rsid w:val="008A4A20"/>
    <w:rsid w:val="008A6880"/>
    <w:rsid w:val="008B1B8C"/>
    <w:rsid w:val="008D1993"/>
    <w:rsid w:val="008D4CB6"/>
    <w:rsid w:val="008E1885"/>
    <w:rsid w:val="008E2666"/>
    <w:rsid w:val="008E71B4"/>
    <w:rsid w:val="008F5E35"/>
    <w:rsid w:val="00902181"/>
    <w:rsid w:val="009054F5"/>
    <w:rsid w:val="0091411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C0134"/>
    <w:rsid w:val="009D753C"/>
    <w:rsid w:val="009E0A3A"/>
    <w:rsid w:val="009F48A1"/>
    <w:rsid w:val="00A05C5F"/>
    <w:rsid w:val="00A07AFF"/>
    <w:rsid w:val="00A21A0C"/>
    <w:rsid w:val="00A26721"/>
    <w:rsid w:val="00A636E3"/>
    <w:rsid w:val="00A63F64"/>
    <w:rsid w:val="00A6739D"/>
    <w:rsid w:val="00A805E9"/>
    <w:rsid w:val="00A825BC"/>
    <w:rsid w:val="00AA1AC9"/>
    <w:rsid w:val="00AB4E82"/>
    <w:rsid w:val="00AB5001"/>
    <w:rsid w:val="00AB51E3"/>
    <w:rsid w:val="00AC2C73"/>
    <w:rsid w:val="00AD23B0"/>
    <w:rsid w:val="00AD3B78"/>
    <w:rsid w:val="00AE0DB5"/>
    <w:rsid w:val="00AE2EC3"/>
    <w:rsid w:val="00AE6EF1"/>
    <w:rsid w:val="00AF57EB"/>
    <w:rsid w:val="00AF76B2"/>
    <w:rsid w:val="00B05A83"/>
    <w:rsid w:val="00B2486F"/>
    <w:rsid w:val="00B35DDF"/>
    <w:rsid w:val="00B36138"/>
    <w:rsid w:val="00B368F0"/>
    <w:rsid w:val="00B51625"/>
    <w:rsid w:val="00B557A4"/>
    <w:rsid w:val="00B57908"/>
    <w:rsid w:val="00B84991"/>
    <w:rsid w:val="00B84FA5"/>
    <w:rsid w:val="00B90FEB"/>
    <w:rsid w:val="00BB48E9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BF66AB"/>
    <w:rsid w:val="00C00646"/>
    <w:rsid w:val="00C06AD0"/>
    <w:rsid w:val="00C12DA2"/>
    <w:rsid w:val="00C212F7"/>
    <w:rsid w:val="00C22E75"/>
    <w:rsid w:val="00C22E99"/>
    <w:rsid w:val="00C31D3D"/>
    <w:rsid w:val="00C40920"/>
    <w:rsid w:val="00C471BC"/>
    <w:rsid w:val="00C52E24"/>
    <w:rsid w:val="00C53ED1"/>
    <w:rsid w:val="00C57C70"/>
    <w:rsid w:val="00C67624"/>
    <w:rsid w:val="00C73931"/>
    <w:rsid w:val="00C779D8"/>
    <w:rsid w:val="00C90213"/>
    <w:rsid w:val="00C91CAE"/>
    <w:rsid w:val="00C93BC6"/>
    <w:rsid w:val="00C96630"/>
    <w:rsid w:val="00C976B1"/>
    <w:rsid w:val="00C97A24"/>
    <w:rsid w:val="00CB202F"/>
    <w:rsid w:val="00CC5495"/>
    <w:rsid w:val="00CC5854"/>
    <w:rsid w:val="00CD2416"/>
    <w:rsid w:val="00CD2A1C"/>
    <w:rsid w:val="00CF24CA"/>
    <w:rsid w:val="00CF4970"/>
    <w:rsid w:val="00CF570F"/>
    <w:rsid w:val="00D0008E"/>
    <w:rsid w:val="00D074FA"/>
    <w:rsid w:val="00D13A48"/>
    <w:rsid w:val="00D243EB"/>
    <w:rsid w:val="00D264AC"/>
    <w:rsid w:val="00D26E69"/>
    <w:rsid w:val="00D37491"/>
    <w:rsid w:val="00D60AA2"/>
    <w:rsid w:val="00D6512D"/>
    <w:rsid w:val="00D67252"/>
    <w:rsid w:val="00D75E03"/>
    <w:rsid w:val="00D815AC"/>
    <w:rsid w:val="00D8726F"/>
    <w:rsid w:val="00D9649C"/>
    <w:rsid w:val="00DA493A"/>
    <w:rsid w:val="00DA726F"/>
    <w:rsid w:val="00DA7AC3"/>
    <w:rsid w:val="00DA7C56"/>
    <w:rsid w:val="00DD04D8"/>
    <w:rsid w:val="00DD5AD0"/>
    <w:rsid w:val="00DD77A7"/>
    <w:rsid w:val="00DE07C6"/>
    <w:rsid w:val="00DE5B0A"/>
    <w:rsid w:val="00DE67D9"/>
    <w:rsid w:val="00DE7CE3"/>
    <w:rsid w:val="00E0190A"/>
    <w:rsid w:val="00E04FCC"/>
    <w:rsid w:val="00E11C07"/>
    <w:rsid w:val="00E127F3"/>
    <w:rsid w:val="00E17D46"/>
    <w:rsid w:val="00E244F1"/>
    <w:rsid w:val="00E26EEA"/>
    <w:rsid w:val="00E2787F"/>
    <w:rsid w:val="00E33104"/>
    <w:rsid w:val="00E3569C"/>
    <w:rsid w:val="00E408D1"/>
    <w:rsid w:val="00E40E29"/>
    <w:rsid w:val="00E4542B"/>
    <w:rsid w:val="00E51B28"/>
    <w:rsid w:val="00E562E1"/>
    <w:rsid w:val="00E56579"/>
    <w:rsid w:val="00E57F41"/>
    <w:rsid w:val="00E63F97"/>
    <w:rsid w:val="00E64935"/>
    <w:rsid w:val="00E64F4B"/>
    <w:rsid w:val="00E845E7"/>
    <w:rsid w:val="00E93044"/>
    <w:rsid w:val="00E96071"/>
    <w:rsid w:val="00EA3A43"/>
    <w:rsid w:val="00EB0F04"/>
    <w:rsid w:val="00EB29D3"/>
    <w:rsid w:val="00EC7A05"/>
    <w:rsid w:val="00ED01FA"/>
    <w:rsid w:val="00ED3CD0"/>
    <w:rsid w:val="00EE1E0F"/>
    <w:rsid w:val="00EE2F81"/>
    <w:rsid w:val="00EE6899"/>
    <w:rsid w:val="00EF7147"/>
    <w:rsid w:val="00F07969"/>
    <w:rsid w:val="00F20DF7"/>
    <w:rsid w:val="00F376AE"/>
    <w:rsid w:val="00F4239B"/>
    <w:rsid w:val="00F50692"/>
    <w:rsid w:val="00F553F6"/>
    <w:rsid w:val="00F62FA6"/>
    <w:rsid w:val="00F64A00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E411D"/>
    <w:rsid w:val="00FE5EE5"/>
    <w:rsid w:val="00FF6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8F6"/>
  </w:style>
  <w:style w:type="paragraph" w:styleId="Footer">
    <w:name w:val="footer"/>
    <w:basedOn w:val="Normal"/>
    <w:link w:val="FooterChar"/>
    <w:uiPriority w:val="99"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3DD04-3C41-489C-9561-C2E92D8A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</cp:revision>
  <cp:lastPrinted>2022-06-17T01:50:00Z</cp:lastPrinted>
  <dcterms:created xsi:type="dcterms:W3CDTF">2022-08-24T02:45:00Z</dcterms:created>
  <dcterms:modified xsi:type="dcterms:W3CDTF">2022-08-26T03:26:00Z</dcterms:modified>
</cp:coreProperties>
</file>